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DF" w:rsidRPr="00931617" w:rsidRDefault="00195671" w:rsidP="00707CDF">
      <w:pPr>
        <w:pStyle w:val="berschrift1"/>
        <w:suppressAutoHyphens/>
        <w:ind w:right="850"/>
        <w:rPr>
          <w:rFonts w:cs="Arial"/>
          <w:bCs/>
          <w:szCs w:val="24"/>
        </w:rPr>
      </w:pPr>
      <w:bookmarkStart w:id="0" w:name="_GoBack"/>
      <w:bookmarkEnd w:id="0"/>
      <w:r>
        <w:t>El mercado de suelos laminados disminuye en 2018</w:t>
      </w:r>
    </w:p>
    <w:p w:rsidR="00707CDF" w:rsidRPr="00931617" w:rsidRDefault="00195671" w:rsidP="00707CDF">
      <w:pPr>
        <w:suppressAutoHyphens/>
        <w:spacing w:line="360" w:lineRule="auto"/>
        <w:ind w:right="850"/>
        <w:rPr>
          <w:rFonts w:ascii="Arial" w:hAnsi="Arial" w:cs="Arial"/>
          <w:b/>
          <w:bCs/>
          <w:szCs w:val="24"/>
        </w:rPr>
      </w:pPr>
      <w:r>
        <w:rPr>
          <w:rFonts w:ascii="Arial" w:hAnsi="Arial"/>
          <w:b/>
        </w:rPr>
        <w:t>455 millones de m</w:t>
      </w:r>
      <w:r>
        <w:rPr>
          <w:rFonts w:ascii="Arial" w:hAnsi="Arial"/>
          <w:b/>
          <w:vertAlign w:val="superscript"/>
        </w:rPr>
        <w:t>2</w:t>
      </w:r>
      <w:r>
        <w:rPr>
          <w:rFonts w:ascii="Arial" w:hAnsi="Arial"/>
          <w:b/>
        </w:rPr>
        <w:t xml:space="preserve"> de volumen total de ventas; América Latina y Asia pueden crecer</w:t>
      </w:r>
    </w:p>
    <w:p w:rsidR="00B23C2E" w:rsidRPr="00931617" w:rsidRDefault="005B34FB" w:rsidP="00707CDF">
      <w:pPr>
        <w:suppressAutoHyphens/>
        <w:spacing w:line="360" w:lineRule="auto"/>
        <w:ind w:right="850"/>
        <w:rPr>
          <w:rFonts w:ascii="Arial" w:hAnsi="Arial" w:cs="Arial"/>
          <w:b/>
          <w:bCs/>
          <w:sz w:val="22"/>
        </w:rPr>
      </w:pPr>
    </w:p>
    <w:p w:rsidR="00FE17C9" w:rsidRPr="00931617" w:rsidRDefault="00195671" w:rsidP="00FE17C9">
      <w:pPr>
        <w:spacing w:line="360" w:lineRule="auto"/>
        <w:ind w:right="850"/>
        <w:rPr>
          <w:rFonts w:ascii="Arial" w:hAnsi="Arial" w:cs="Arial"/>
          <w:b/>
          <w:sz w:val="22"/>
          <w:szCs w:val="22"/>
        </w:rPr>
      </w:pPr>
      <w:r>
        <w:rPr>
          <w:rFonts w:ascii="Arial" w:hAnsi="Arial"/>
          <w:b/>
          <w:sz w:val="22"/>
        </w:rPr>
        <w:t>En 2018, los fabricantes organizados en torno a EPLF lograron unas ventas por valor de 455 millones de m</w:t>
      </w:r>
      <w:r>
        <w:rPr>
          <w:rFonts w:ascii="Arial" w:hAnsi="Arial"/>
          <w:sz w:val="22"/>
        </w:rPr>
        <w:t>²</w:t>
      </w:r>
      <w:r>
        <w:rPr>
          <w:rFonts w:ascii="Arial" w:hAnsi="Arial"/>
          <w:b/>
          <w:sz w:val="22"/>
        </w:rPr>
        <w:t xml:space="preserve"> en suelos laminados de producción europea (en 2017 fueron 477 millones de m², lo que implica un 4,6 % menos. Esto significa que el mercado de laminados se mantiene a un alto nivel en todo el mundo a pesar de las caídas regionales. En 2018, el «mercado doméstico» de EPLF en Europa occidental volvió a retroceder mientras América Latina y Asia registraron las tasas de crecimiento más elevadas. Las ventas de suelos laminados disminuyeron en América del Norte y se mantuvieron estables en Europa del Este.</w:t>
      </w:r>
    </w:p>
    <w:p w:rsidR="00FE17C9" w:rsidRPr="00931617" w:rsidRDefault="005B34FB" w:rsidP="004119B0">
      <w:pPr>
        <w:spacing w:line="360" w:lineRule="auto"/>
        <w:ind w:right="850"/>
        <w:rPr>
          <w:rFonts w:ascii="Arial" w:hAnsi="Arial" w:cs="Arial"/>
          <w:sz w:val="22"/>
          <w:szCs w:val="22"/>
        </w:rPr>
      </w:pPr>
    </w:p>
    <w:p w:rsidR="00243433" w:rsidRPr="00931617" w:rsidRDefault="00195671" w:rsidP="004119B0">
      <w:pPr>
        <w:spacing w:line="360" w:lineRule="auto"/>
        <w:ind w:right="1134"/>
        <w:rPr>
          <w:rFonts w:ascii="Arial" w:hAnsi="Arial" w:cs="Arial"/>
          <w:sz w:val="22"/>
          <w:szCs w:val="22"/>
        </w:rPr>
      </w:pPr>
      <w:r>
        <w:rPr>
          <w:rFonts w:ascii="Arial" w:hAnsi="Arial"/>
          <w:sz w:val="22"/>
        </w:rPr>
        <w:t>En Europa occidental (incluida Turquía), las ventas totales de 2018 alcanzaron los 225 millones de m² (el año anterior 243 millones de m²). Esto significa un descenso del 7,3 % con respecto al año anterior. El mercado único más importante de Europa central sigue siendo Alemania con 52 millones de m² (el año anterior 57 millones de m²); aunque menos el 8,3 % debido a la tendencia constante hacia los tipos de suelo alternativos.</w:t>
      </w:r>
    </w:p>
    <w:p w:rsidR="00DB457C" w:rsidRPr="00931617" w:rsidRDefault="005B34FB" w:rsidP="00DB457C">
      <w:pPr>
        <w:suppressAutoHyphens/>
        <w:spacing w:line="360" w:lineRule="auto"/>
        <w:ind w:right="850"/>
        <w:rPr>
          <w:rFonts w:ascii="Arial" w:hAnsi="Arial" w:cs="Arial"/>
          <w:sz w:val="22"/>
          <w:szCs w:val="22"/>
        </w:rPr>
      </w:pPr>
    </w:p>
    <w:p w:rsidR="00652235" w:rsidRPr="00931617" w:rsidRDefault="00195671" w:rsidP="00652235">
      <w:pPr>
        <w:suppressAutoHyphens/>
        <w:spacing w:line="360" w:lineRule="auto"/>
        <w:ind w:right="850"/>
        <w:rPr>
          <w:rFonts w:ascii="Arial" w:hAnsi="Arial" w:cs="Arial"/>
          <w:sz w:val="22"/>
          <w:szCs w:val="22"/>
        </w:rPr>
      </w:pPr>
      <w:r>
        <w:rPr>
          <w:rFonts w:ascii="Arial" w:hAnsi="Arial"/>
          <w:sz w:val="22"/>
        </w:rPr>
        <w:t xml:space="preserve">El segundo puesto en Europa sigue siendo para Francia, que en 2018 con 36 millones de m² (el año anterior 37,6 millones de m²) ha empeorado ligeramente. En Gran Bretaña se detuvo la tendencia positiva para los miembros de EPLF: en 2018 ha registrado, con 29,8 millones de m² (año anterior 33,8 millones de m²) un nuevo </w:t>
      </w:r>
      <w:r>
        <w:rPr>
          <w:rFonts w:ascii="Arial" w:hAnsi="Arial"/>
          <w:sz w:val="22"/>
        </w:rPr>
        <w:lastRenderedPageBreak/>
        <w:t xml:space="preserve">descenso de 11,8 %. Esto sitúa al país en el tercer lugar de las ventas en Europa occidental por delante de Turquía, donde las ventas de la asociación fueron disminuyendo también durante el año 2018: las cifras de ventas de los suelos laminados disminuyeron el 18,2 % quedando en 20,4 millones de m² (año anterior 24,9 millones de m²). Los Países Bajos mantuvieron su quinto puesto con unas cifras de ventas situadas en 18,3 millones de m² (año anterior 19,7 millones de m²). Detrás vuelve a quedar estable España con apenas 16,5 millones de m² (año anterior 17 millones de m²). </w:t>
      </w:r>
    </w:p>
    <w:p w:rsidR="00D76248" w:rsidRPr="00931617" w:rsidRDefault="005B34FB" w:rsidP="00FE17C9">
      <w:pPr>
        <w:suppressAutoHyphens/>
        <w:spacing w:line="360" w:lineRule="auto"/>
        <w:ind w:right="850"/>
        <w:rPr>
          <w:rFonts w:ascii="Arial" w:hAnsi="Arial" w:cs="Arial"/>
          <w:sz w:val="22"/>
          <w:szCs w:val="22"/>
        </w:rPr>
      </w:pPr>
    </w:p>
    <w:p w:rsidR="00BA5AE9" w:rsidRPr="00931617" w:rsidRDefault="00195671" w:rsidP="00FE17C9">
      <w:pPr>
        <w:suppressAutoHyphens/>
        <w:spacing w:line="360" w:lineRule="auto"/>
        <w:ind w:right="850"/>
        <w:rPr>
          <w:rFonts w:ascii="Arial" w:hAnsi="Arial" w:cs="Arial"/>
          <w:sz w:val="22"/>
          <w:szCs w:val="22"/>
        </w:rPr>
      </w:pPr>
      <w:r>
        <w:rPr>
          <w:rFonts w:ascii="Arial" w:hAnsi="Arial"/>
          <w:sz w:val="22"/>
        </w:rPr>
        <w:t>Aunque la tendencia al alza de años anteriores no puede continuar en Europa occidental, esta región, con sus resultados estables, sigue siendo un mercado futuro importante para los fabricantes de EPLF. Con aprox. 128 millones de m² (año anterior 128 millones de m²) los fabricantes europeos de suelos laminados volvieron a obtener un buen resultado en 2018. La Asociación es consciente de que en 2017 casi 28 millones de m</w:t>
      </w:r>
      <w:r>
        <w:rPr>
          <w:rFonts w:ascii="Arial" w:hAnsi="Arial"/>
          <w:sz w:val="22"/>
          <w:vertAlign w:val="superscript"/>
        </w:rPr>
        <w:t>2</w:t>
      </w:r>
      <w:r>
        <w:rPr>
          <w:rFonts w:ascii="Arial" w:hAnsi="Arial"/>
          <w:sz w:val="22"/>
        </w:rPr>
        <w:t xml:space="preserve"> de la producción rusa de sus miembros no están cubiertos por las estadísticas debido a diversas razones. Los miembros de EPLF en Rusia han registrado 3</w:t>
      </w:r>
      <w:r w:rsidR="009B7B91">
        <w:rPr>
          <w:rFonts w:ascii="Arial" w:hAnsi="Arial"/>
          <w:sz w:val="22"/>
        </w:rPr>
        <w:t>9</w:t>
      </w:r>
      <w:r>
        <w:rPr>
          <w:rFonts w:ascii="Arial" w:hAnsi="Arial"/>
          <w:sz w:val="22"/>
        </w:rPr>
        <w:t xml:space="preserve"> millones de m² (año anterior 3</w:t>
      </w:r>
      <w:r w:rsidR="009B7B91">
        <w:rPr>
          <w:rFonts w:ascii="Arial" w:hAnsi="Arial"/>
          <w:sz w:val="22"/>
        </w:rPr>
        <w:t>6</w:t>
      </w:r>
      <w:r>
        <w:rPr>
          <w:rFonts w:ascii="Arial" w:hAnsi="Arial"/>
          <w:sz w:val="22"/>
        </w:rPr>
        <w:t xml:space="preserve"> millones de m²), lo que corresponde a una tasa de crecimiento del 10,6</w:t>
      </w:r>
      <w:r w:rsidR="009B7B91">
        <w:rPr>
          <w:rFonts w:ascii="Arial" w:hAnsi="Arial"/>
          <w:sz w:val="22"/>
        </w:rPr>
        <w:t> </w:t>
      </w:r>
      <w:r>
        <w:rPr>
          <w:rFonts w:ascii="Arial" w:hAnsi="Arial"/>
          <w:sz w:val="22"/>
        </w:rPr>
        <w:t xml:space="preserve">%. Polonia, con más de 29 millones de m² en 2018 (año anterior </w:t>
      </w:r>
      <w:r w:rsidR="009B7B91">
        <w:rPr>
          <w:rFonts w:ascii="Arial" w:hAnsi="Arial"/>
          <w:sz w:val="22"/>
        </w:rPr>
        <w:t xml:space="preserve">más de </w:t>
      </w:r>
      <w:r>
        <w:rPr>
          <w:rFonts w:ascii="Arial" w:hAnsi="Arial"/>
          <w:sz w:val="22"/>
        </w:rPr>
        <w:t>3</w:t>
      </w:r>
      <w:r w:rsidR="009B7B91">
        <w:rPr>
          <w:rFonts w:ascii="Arial" w:hAnsi="Arial"/>
          <w:sz w:val="22"/>
        </w:rPr>
        <w:t>0</w:t>
      </w:r>
      <w:r>
        <w:rPr>
          <w:rFonts w:ascii="Arial" w:hAnsi="Arial"/>
          <w:sz w:val="22"/>
        </w:rPr>
        <w:t xml:space="preserve"> millones de m²), obtuvo un resultado estable. De forma ligeramente menor evolucionó Rumanía con 11 millones de m² (año anterior 13,2 millones de m²). Por detrás se encuentra en el mismo orden Ucrania con 7,6 millones de m² (año anterior 7,4 millones de m²) y con 4 % de crecimiento, Hungría con 7 millones de m² (año anterior 6,5 millones de m²) y Bulgaria con 4,4 millones de m² (año anterior 5 millones de m²).</w:t>
      </w:r>
    </w:p>
    <w:p w:rsidR="00FE17C9" w:rsidRPr="00931617" w:rsidRDefault="005B34FB" w:rsidP="00FE17C9">
      <w:pPr>
        <w:suppressAutoHyphens/>
        <w:spacing w:line="360" w:lineRule="auto"/>
        <w:ind w:right="850"/>
        <w:rPr>
          <w:rFonts w:ascii="Arial" w:hAnsi="Arial" w:cs="Arial"/>
          <w:sz w:val="22"/>
          <w:szCs w:val="22"/>
        </w:rPr>
      </w:pPr>
    </w:p>
    <w:p w:rsidR="00FE17C9" w:rsidRPr="00931617" w:rsidRDefault="00195671" w:rsidP="00FE17C9">
      <w:pPr>
        <w:suppressAutoHyphens/>
        <w:spacing w:line="360" w:lineRule="auto"/>
        <w:ind w:right="850"/>
        <w:rPr>
          <w:rFonts w:ascii="Arial" w:hAnsi="Arial" w:cs="Arial"/>
          <w:sz w:val="22"/>
          <w:szCs w:val="22"/>
        </w:rPr>
      </w:pPr>
      <w:r>
        <w:rPr>
          <w:rFonts w:ascii="Arial" w:hAnsi="Arial"/>
          <w:sz w:val="22"/>
        </w:rPr>
        <w:lastRenderedPageBreak/>
        <w:t xml:space="preserve">América del Norte sigue siendo una región de ventas que merece la pena para los suelos laminados europeos, aunque el resultado se ve un tanto atenuado por las cifras más débiles de Canadá: en 2018 se vendieron en América del Norte un total de 44,3 millones de m² (año anterior 49 millones de m²) aprox. el 10,4 % menos que el año anterior. Los EE.UU. registraron un ligero retroceso en 2018 con aprox. 30,7 millones de m² (año anterior 32 millones de m²) equivalente al 2,4 % y en 2018 Canadá registró solo 13,6 millones de m² (año anterior 18 millones de m²), lo que significa un retroceso del 24,5 %. </w:t>
      </w:r>
    </w:p>
    <w:p w:rsidR="00FE17C9" w:rsidRPr="00931617" w:rsidRDefault="005B34FB" w:rsidP="00FE17C9">
      <w:pPr>
        <w:suppressAutoHyphens/>
        <w:spacing w:line="360" w:lineRule="auto"/>
        <w:ind w:right="850"/>
        <w:rPr>
          <w:rFonts w:ascii="Arial" w:hAnsi="Arial" w:cs="Arial"/>
          <w:sz w:val="22"/>
          <w:szCs w:val="22"/>
        </w:rPr>
      </w:pPr>
    </w:p>
    <w:p w:rsidR="0024194A" w:rsidRPr="00931617" w:rsidRDefault="00195671" w:rsidP="0024194A">
      <w:pPr>
        <w:suppressAutoHyphens/>
        <w:spacing w:line="360" w:lineRule="auto"/>
        <w:ind w:right="850"/>
        <w:rPr>
          <w:rFonts w:ascii="Arial" w:hAnsi="Arial" w:cs="Arial"/>
          <w:bCs/>
          <w:sz w:val="22"/>
          <w:szCs w:val="22"/>
        </w:rPr>
      </w:pPr>
      <w:r>
        <w:rPr>
          <w:rFonts w:ascii="Arial" w:hAnsi="Arial"/>
          <w:sz w:val="22"/>
        </w:rPr>
        <w:t>En 2018, el mayor aumento se produjo en África con el 7,8 %, aunque las ventas totales en esta región fueron de solo 5 millones de m². La región de América Latina vuelve a aumentar en las estadísticas de ventas de EPLF: en 2018, con 18,5 millones de m² (año anterior 17,7 millones de m²), se alcanzó un crecimiento del 4,7 %. Las cifras de ventas en el mayor mercado de Chile aumentaron en comparación con el año anterior en 8,1 millones de m² (año anterior 7,7 millones de m²) en un 5 %. México registró 3,9 millones de m² (año anterior 4,3 millones de m²), Colombia registró 2,1 millones de m</w:t>
      </w:r>
      <w:r>
        <w:rPr>
          <w:rFonts w:ascii="Arial" w:hAnsi="Arial"/>
          <w:sz w:val="22"/>
          <w:vertAlign w:val="superscript"/>
        </w:rPr>
        <w:t>2</w:t>
      </w:r>
      <w:r>
        <w:rPr>
          <w:rFonts w:ascii="Arial" w:hAnsi="Arial"/>
          <w:sz w:val="22"/>
        </w:rPr>
        <w:t xml:space="preserve"> (año anterior 1,6 millones de m²), la conocida mala situación económica en Argentina supuso retroceder hasta los 1,5 millones de m² (año anterior 2,1 millones de m²).</w:t>
      </w:r>
    </w:p>
    <w:p w:rsidR="0024194A" w:rsidRPr="00931617" w:rsidRDefault="005B34FB" w:rsidP="0024194A">
      <w:pPr>
        <w:suppressAutoHyphens/>
        <w:spacing w:line="360" w:lineRule="auto"/>
        <w:ind w:right="850"/>
        <w:rPr>
          <w:rFonts w:ascii="Arial" w:hAnsi="Arial" w:cs="Arial"/>
          <w:i/>
          <w:iCs/>
          <w:sz w:val="22"/>
          <w:szCs w:val="22"/>
        </w:rPr>
      </w:pPr>
    </w:p>
    <w:p w:rsidR="00FC669D" w:rsidRPr="00931617" w:rsidRDefault="00195671" w:rsidP="00034947">
      <w:pPr>
        <w:suppressAutoHyphens/>
        <w:spacing w:line="360" w:lineRule="auto"/>
        <w:ind w:right="850"/>
        <w:rPr>
          <w:rFonts w:ascii="Arial" w:hAnsi="Arial" w:cs="Arial"/>
          <w:sz w:val="22"/>
          <w:szCs w:val="22"/>
        </w:rPr>
      </w:pPr>
      <w:r>
        <w:rPr>
          <w:rFonts w:ascii="Arial" w:hAnsi="Arial"/>
          <w:sz w:val="22"/>
        </w:rPr>
        <w:t xml:space="preserve">En la región de Asia, los fabricantes de EPLF alcanzaron unas ventas totales de aprox. 30 millones de m² en 2018 (año anterior 29 millones de m²), alcanzando con respecto al año pasado un 2,8 % más. China (incluyendo Hong Kong) fue de nuevo el número uno indiscutible en Asia en 2018, aunque con una disminución de aprox. el 7,2 % en comparación con el año anterior: 8,9 millones de m² fueron vendidos allí </w:t>
      </w:r>
      <w:r>
        <w:rPr>
          <w:rFonts w:ascii="Arial" w:hAnsi="Arial"/>
          <w:sz w:val="22"/>
        </w:rPr>
        <w:lastRenderedPageBreak/>
        <w:t>(año anterior 9,6 millones de m²). EPLF ve un crecimiento satisfactorio en el mercado de Kazajstán por primera vez desde 2016 con 4 millones de m</w:t>
      </w:r>
      <w:r>
        <w:rPr>
          <w:rFonts w:ascii="Arial" w:hAnsi="Arial"/>
          <w:sz w:val="22"/>
          <w:vertAlign w:val="superscript"/>
        </w:rPr>
        <w:t>2</w:t>
      </w:r>
      <w:r>
        <w:rPr>
          <w:rFonts w:ascii="Arial" w:hAnsi="Arial"/>
          <w:sz w:val="22"/>
        </w:rPr>
        <w:t xml:space="preserve"> y un incremento superior al 11 % (año anterior 3,6 millones de m</w:t>
      </w:r>
      <w:r>
        <w:rPr>
          <w:rFonts w:ascii="Arial" w:hAnsi="Arial"/>
          <w:sz w:val="22"/>
          <w:vertAlign w:val="superscript"/>
        </w:rPr>
        <w:t>2</w:t>
      </w:r>
      <w:r>
        <w:rPr>
          <w:rFonts w:ascii="Arial" w:hAnsi="Arial"/>
          <w:sz w:val="22"/>
        </w:rPr>
        <w:t>). Israel alcanzó los 2,3 millones de m² (año anterior 2,2 millones de m²), Arabia Saudita aumenta ligeramente con 2,9 millones de m² (año anterior 2,7 millones de m²), detrás se encuentra Uzbekistán con apenas 2,1 millones de m² (año anterior 0,8 millones de. m²), seguido de Taiwán con 1,7 millones de m²</w:t>
      </w:r>
      <w:r>
        <w:rPr>
          <w:rFonts w:ascii="Arial" w:hAnsi="Arial"/>
          <w:sz w:val="22"/>
          <w:vertAlign w:val="superscript"/>
        </w:rPr>
        <w:t xml:space="preserve"> </w:t>
      </w:r>
      <w:r>
        <w:rPr>
          <w:rFonts w:ascii="Arial" w:hAnsi="Arial"/>
          <w:sz w:val="22"/>
        </w:rPr>
        <w:t>(año anterior apenas 1,8 millones de m²) y Azerbaiyán con 1,6 millones de m²</w:t>
      </w:r>
      <w:r>
        <w:rPr>
          <w:rFonts w:ascii="Arial" w:hAnsi="Arial"/>
          <w:sz w:val="22"/>
          <w:vertAlign w:val="superscript"/>
        </w:rPr>
        <w:t xml:space="preserve"> </w:t>
      </w:r>
      <w:r>
        <w:rPr>
          <w:rFonts w:ascii="Arial" w:hAnsi="Arial"/>
          <w:sz w:val="22"/>
        </w:rPr>
        <w:t xml:space="preserve">(año anterior 0,9 millones de m²). Al mismo tiempo, el laminado parece estar ganando terreno en el gigantesco mercado indio: en 2018, los miembros del EPLF alcanzaron unas ventas de 1,6 millones de m² (año anterior 1,4 millones de m²). </w:t>
      </w:r>
      <w:r>
        <w:rPr>
          <w:rFonts w:ascii="Arial" w:hAnsi="Arial"/>
          <w:b/>
          <w:sz w:val="22"/>
        </w:rPr>
        <w:t xml:space="preserve">www.eplf.com </w:t>
      </w:r>
    </w:p>
    <w:p w:rsidR="007D71E4" w:rsidRDefault="00195671" w:rsidP="00034947">
      <w:pPr>
        <w:ind w:right="850"/>
        <w:rPr>
          <w:rFonts w:ascii="Arial" w:hAnsi="Arial" w:cs="Arial"/>
          <w:sz w:val="16"/>
          <w:szCs w:val="16"/>
        </w:rPr>
      </w:pPr>
      <w:r>
        <w:rPr>
          <w:rFonts w:ascii="Arial" w:hAnsi="Arial"/>
          <w:b/>
          <w:i/>
          <w:sz w:val="16"/>
        </w:rPr>
        <w:t>Anexos: elnd1902_b1-b7: Gráficos de ventas EPLF 2018:</w:t>
      </w:r>
      <w:r>
        <w:br/>
      </w:r>
      <w:r>
        <w:rPr>
          <w:rFonts w:ascii="Arial" w:hAnsi="Arial"/>
          <w:b/>
          <w:sz w:val="16"/>
        </w:rPr>
        <w:t>elnd1902_b1:</w:t>
      </w:r>
      <w:r>
        <w:rPr>
          <w:rFonts w:ascii="Arial" w:hAnsi="Arial"/>
          <w:sz w:val="16"/>
        </w:rPr>
        <w:t xml:space="preserve"> Ventas mundiales 2007-2018 (© EPLF)</w:t>
      </w:r>
      <w:r>
        <w:br/>
      </w:r>
      <w:r>
        <w:rPr>
          <w:rFonts w:ascii="Arial" w:hAnsi="Arial"/>
          <w:b/>
          <w:sz w:val="16"/>
        </w:rPr>
        <w:t xml:space="preserve">elnd1902_b2: </w:t>
      </w:r>
      <w:r>
        <w:rPr>
          <w:rFonts w:ascii="Arial" w:hAnsi="Arial"/>
          <w:sz w:val="16"/>
        </w:rPr>
        <w:t>Ventas de las regiones del mercado mundial 2018 (© EPLF)</w:t>
      </w:r>
      <w:r>
        <w:br/>
      </w:r>
      <w:r>
        <w:rPr>
          <w:rFonts w:ascii="Arial" w:hAnsi="Arial"/>
          <w:b/>
          <w:sz w:val="16"/>
        </w:rPr>
        <w:t>elnd1902_b3:</w:t>
      </w:r>
      <w:r>
        <w:rPr>
          <w:rFonts w:ascii="Arial" w:hAnsi="Arial"/>
          <w:sz w:val="16"/>
        </w:rPr>
        <w:t xml:space="preserve"> Ventas de Europa occidental 2018 (© EPLF)</w:t>
      </w:r>
      <w:r>
        <w:br/>
      </w:r>
      <w:r>
        <w:rPr>
          <w:rFonts w:ascii="Arial" w:hAnsi="Arial"/>
          <w:b/>
          <w:sz w:val="16"/>
        </w:rPr>
        <w:t>elnd1902_b4:</w:t>
      </w:r>
      <w:r>
        <w:rPr>
          <w:rFonts w:ascii="Arial" w:hAnsi="Arial"/>
          <w:sz w:val="16"/>
        </w:rPr>
        <w:t xml:space="preserve"> Ventas de Europa oriental 2018 (© EPLF)</w:t>
      </w:r>
      <w:r>
        <w:br/>
      </w:r>
      <w:r>
        <w:rPr>
          <w:rFonts w:ascii="Arial" w:hAnsi="Arial"/>
          <w:b/>
          <w:sz w:val="16"/>
        </w:rPr>
        <w:t>elnd1902_b5:</w:t>
      </w:r>
      <w:r>
        <w:rPr>
          <w:rFonts w:ascii="Arial" w:hAnsi="Arial"/>
          <w:sz w:val="16"/>
        </w:rPr>
        <w:t xml:space="preserve"> Ventas de Asia 2018 (© EPLF)</w:t>
      </w:r>
      <w:r>
        <w:br/>
      </w:r>
      <w:r>
        <w:rPr>
          <w:rFonts w:ascii="Arial" w:hAnsi="Arial"/>
          <w:b/>
          <w:sz w:val="16"/>
        </w:rPr>
        <w:t xml:space="preserve">elnd1902_b6: </w:t>
      </w:r>
      <w:r>
        <w:rPr>
          <w:rFonts w:ascii="Arial" w:hAnsi="Arial"/>
          <w:sz w:val="16"/>
        </w:rPr>
        <w:t>Ventas de América del Norte 2018 (© EPLF)</w:t>
      </w:r>
    </w:p>
    <w:p w:rsidR="0028130F" w:rsidRPr="007D71E4" w:rsidRDefault="00195671" w:rsidP="00034947">
      <w:pPr>
        <w:ind w:right="850"/>
        <w:rPr>
          <w:rFonts w:ascii="Arial" w:hAnsi="Arial" w:cs="Arial"/>
          <w:sz w:val="16"/>
          <w:szCs w:val="16"/>
        </w:rPr>
      </w:pPr>
      <w:r>
        <w:rPr>
          <w:rFonts w:ascii="Arial" w:hAnsi="Arial"/>
          <w:b/>
          <w:sz w:val="16"/>
        </w:rPr>
        <w:t>elnd1902_b7:</w:t>
      </w:r>
      <w:r>
        <w:rPr>
          <w:rFonts w:ascii="Arial" w:hAnsi="Arial"/>
          <w:sz w:val="16"/>
        </w:rPr>
        <w:t xml:space="preserve"> Ventas de América Latina 2018 (© EPLF)</w:t>
      </w:r>
      <w:r>
        <w:br/>
      </w:r>
    </w:p>
    <w:sectPr w:rsidR="0028130F" w:rsidRPr="007D71E4">
      <w:headerReference w:type="default" r:id="rId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A4" w:rsidRDefault="00195671">
      <w:r>
        <w:separator/>
      </w:r>
    </w:p>
  </w:endnote>
  <w:endnote w:type="continuationSeparator" w:id="0">
    <w:p w:rsidR="003F53A4" w:rsidRDefault="0019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A4" w:rsidRDefault="00195671">
      <w:r>
        <w:separator/>
      </w:r>
    </w:p>
  </w:footnote>
  <w:footnote w:type="continuationSeparator" w:id="0">
    <w:p w:rsidR="003F53A4" w:rsidRDefault="0019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195671">
    <w:pPr>
      <w:pStyle w:val="Kopfzeile"/>
      <w:tabs>
        <w:tab w:val="clear" w:pos="9072"/>
      </w:tabs>
      <w:ind w:right="567"/>
      <w:rPr>
        <w:rFonts w:ascii="Arial" w:hAnsi="Arial"/>
        <w:b/>
        <w:sz w:val="36"/>
      </w:rPr>
    </w:pPr>
    <w:r>
      <w:rPr>
        <w:noProof/>
        <w:lang w:val="de-DE" w:eastAsia="de-DE"/>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5B34FB">
    <w:pPr>
      <w:pStyle w:val="Kopfzeile"/>
      <w:rPr>
        <w:rFonts w:ascii="Arial" w:hAnsi="Arial"/>
        <w:b/>
        <w:sz w:val="36"/>
      </w:rPr>
    </w:pPr>
  </w:p>
  <w:p w:rsidR="00A60568" w:rsidRDefault="005B34FB">
    <w:pPr>
      <w:pStyle w:val="Kopfzeile"/>
      <w:rPr>
        <w:rFonts w:ascii="Arial" w:hAnsi="Arial"/>
        <w:b/>
        <w:sz w:val="36"/>
      </w:rPr>
    </w:pPr>
  </w:p>
  <w:p w:rsidR="00A60568" w:rsidRDefault="005B34FB">
    <w:pPr>
      <w:pStyle w:val="Kopfzeile"/>
      <w:rPr>
        <w:rFonts w:ascii="Arial" w:hAnsi="Arial"/>
        <w:b/>
        <w:sz w:val="36"/>
      </w:rPr>
    </w:pPr>
  </w:p>
  <w:p w:rsidR="00A60568" w:rsidRDefault="00195671">
    <w:pPr>
      <w:pStyle w:val="Kopfzeile"/>
      <w:tabs>
        <w:tab w:val="clear" w:pos="9072"/>
      </w:tabs>
      <w:ind w:right="849"/>
      <w:rPr>
        <w:rFonts w:ascii="Arial" w:hAnsi="Arial"/>
        <w:b/>
        <w:sz w:val="36"/>
      </w:rPr>
    </w:pPr>
    <w:r>
      <w:rPr>
        <w:rFonts w:ascii="Arial" w:hAnsi="Arial"/>
        <w:b/>
        <w:sz w:val="36"/>
      </w:rPr>
      <w:t>Comunicado de prensa</w:t>
    </w:r>
  </w:p>
  <w:p w:rsidR="00A60568" w:rsidRDefault="00195671">
    <w:pPr>
      <w:pStyle w:val="Kopfzeile"/>
      <w:tabs>
        <w:tab w:val="clear" w:pos="9072"/>
      </w:tabs>
      <w:spacing w:before="120" w:line="360" w:lineRule="auto"/>
      <w:ind w:right="849"/>
      <w:rPr>
        <w:rFonts w:ascii="Arial" w:hAnsi="Arial"/>
      </w:rPr>
    </w:pPr>
    <w:r>
      <w:rPr>
        <w:rFonts w:ascii="Arial" w:hAnsi="Arial"/>
      </w:rPr>
      <w:t>enero de 2019</w:t>
    </w:r>
  </w:p>
  <w:p w:rsidR="00A60568" w:rsidRDefault="00195671">
    <w:pPr>
      <w:pStyle w:val="Kopfzeile"/>
      <w:tabs>
        <w:tab w:val="clear" w:pos="4536"/>
        <w:tab w:val="clear" w:pos="9072"/>
      </w:tabs>
      <w:spacing w:line="360" w:lineRule="auto"/>
      <w:ind w:right="849"/>
      <w:rPr>
        <w:rFonts w:ascii="Arial" w:hAnsi="Arial"/>
        <w:snapToGrid w:val="0"/>
      </w:rPr>
    </w:pPr>
    <w:r>
      <w:rPr>
        <w:rFonts w:ascii="Arial" w:hAnsi="Arial"/>
      </w:rPr>
      <w:t xml:space="preserve">Página </w:t>
    </w:r>
    <w:r>
      <w:rPr>
        <w:rFonts w:ascii="Arial" w:hAnsi="Arial"/>
      </w:rPr>
      <w:fldChar w:fldCharType="begin"/>
    </w:r>
    <w:r>
      <w:rPr>
        <w:rFonts w:ascii="Arial" w:hAnsi="Arial"/>
      </w:rPr>
      <w:instrText xml:space="preserve"> PAGE </w:instrText>
    </w:r>
    <w:r>
      <w:rPr>
        <w:rFonts w:ascii="Arial" w:hAnsi="Arial"/>
      </w:rPr>
      <w:fldChar w:fldCharType="separate"/>
    </w:r>
    <w:r w:rsidR="005B34FB">
      <w:rPr>
        <w:rFonts w:ascii="Arial" w:hAnsi="Arial"/>
        <w:noProof/>
      </w:rPr>
      <w:t>1</w:t>
    </w:r>
    <w:r>
      <w:rPr>
        <w:rFonts w:ascii="Arial" w:hAnsi="Arial"/>
      </w:rPr>
      <w:fldChar w:fldCharType="end"/>
    </w:r>
  </w:p>
  <w:p w:rsidR="00A60568" w:rsidRDefault="005B34FB">
    <w:pPr>
      <w:pStyle w:val="Kopfzeile"/>
      <w:tabs>
        <w:tab w:val="clear" w:pos="9072"/>
      </w:tabs>
      <w:spacing w:line="360" w:lineRule="auto"/>
      <w:ind w:right="849"/>
      <w:rPr>
        <w:rFonts w:ascii="Arial" w:hAnsi="Arial"/>
        <w:sz w:val="18"/>
      </w:rPr>
    </w:pPr>
  </w:p>
  <w:p w:rsidR="00A60568" w:rsidRDefault="00195671">
    <w:pPr>
      <w:pStyle w:val="Kopfzeile"/>
      <w:tabs>
        <w:tab w:val="clear" w:pos="9072"/>
      </w:tabs>
      <w:spacing w:line="360" w:lineRule="auto"/>
      <w:ind w:right="849"/>
      <w:rPr>
        <w:rFonts w:ascii="Arial" w:hAnsi="Arial"/>
        <w:sz w:val="18"/>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4988560</wp:posOffset>
              </wp:positionH>
              <wp:positionV relativeFrom="paragraph">
                <wp:posOffset>141605</wp:posOffset>
              </wp:positionV>
              <wp:extent cx="1485900" cy="2857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195671">
                          <w:pPr>
                            <w:rPr>
                              <w:rFonts w:ascii="Arial" w:hAnsi="Arial" w:cs="Arial"/>
                              <w:b/>
                              <w:bCs/>
                              <w:color w:val="808080"/>
                              <w:sz w:val="18"/>
                            </w:rPr>
                          </w:pPr>
                          <w:r>
                            <w:rPr>
                              <w:rFonts w:ascii="Arial" w:hAnsi="Arial"/>
                              <w:b/>
                              <w:color w:val="808080"/>
                              <w:sz w:val="18"/>
                            </w:rPr>
                            <w:t>Contacto de prensa:</w:t>
                          </w:r>
                        </w:p>
                        <w:p w:rsidR="00A60568" w:rsidRDefault="005B34FB">
                          <w:pPr>
                            <w:rPr>
                              <w:rFonts w:ascii="Arial" w:hAnsi="Arial" w:cs="Arial"/>
                              <w:b/>
                              <w:bCs/>
                              <w:color w:val="808080"/>
                              <w:sz w:val="18"/>
                            </w:rPr>
                          </w:pPr>
                        </w:p>
                        <w:p w:rsidR="00A60568" w:rsidRDefault="00195671">
                          <w:pPr>
                            <w:rPr>
                              <w:rFonts w:ascii="Arial" w:hAnsi="Arial" w:cs="Arial"/>
                              <w:color w:val="808080"/>
                              <w:sz w:val="18"/>
                            </w:rPr>
                          </w:pPr>
                          <w:r>
                            <w:rPr>
                              <w:rFonts w:ascii="Arial" w:hAnsi="Arial"/>
                              <w:color w:val="808080"/>
                              <w:sz w:val="18"/>
                            </w:rPr>
                            <w:t>Anke Wöhler</w:t>
                          </w:r>
                        </w:p>
                        <w:p w:rsidR="00A60568" w:rsidRDefault="00195671">
                          <w:pPr>
                            <w:rPr>
                              <w:rFonts w:ascii="Arial" w:hAnsi="Arial" w:cs="Arial"/>
                              <w:color w:val="808080"/>
                              <w:sz w:val="18"/>
                            </w:rPr>
                          </w:pPr>
                          <w:r>
                            <w:rPr>
                              <w:rFonts w:ascii="Arial" w:hAnsi="Arial"/>
                              <w:color w:val="808080"/>
                              <w:sz w:val="18"/>
                            </w:rPr>
                            <w:t>PH MEYER</w:t>
                          </w:r>
                        </w:p>
                        <w:p w:rsidR="00A60568" w:rsidRDefault="00195671">
                          <w:pPr>
                            <w:rPr>
                              <w:rFonts w:ascii="Arial" w:hAnsi="Arial" w:cs="Arial"/>
                              <w:color w:val="808080"/>
                              <w:sz w:val="18"/>
                            </w:rPr>
                          </w:pPr>
                          <w:r>
                            <w:rPr>
                              <w:rFonts w:ascii="Arial" w:hAnsi="Arial"/>
                              <w:color w:val="808080"/>
                              <w:sz w:val="18"/>
                            </w:rPr>
                            <w:t>Wirtschaftsberatung</w:t>
                          </w:r>
                        </w:p>
                        <w:p w:rsidR="00A60568" w:rsidRDefault="00195671">
                          <w:pPr>
                            <w:rPr>
                              <w:rFonts w:ascii="Arial" w:hAnsi="Arial" w:cs="Arial"/>
                              <w:color w:val="808080"/>
                              <w:sz w:val="18"/>
                            </w:rPr>
                          </w:pPr>
                          <w:r>
                            <w:rPr>
                              <w:rFonts w:ascii="Arial" w:hAnsi="Arial"/>
                              <w:color w:val="808080"/>
                              <w:sz w:val="18"/>
                            </w:rPr>
                            <w:t>GmbH &amp; Co. KG</w:t>
                          </w:r>
                        </w:p>
                        <w:p w:rsidR="00A60568" w:rsidRDefault="00195671">
                          <w:pPr>
                            <w:rPr>
                              <w:rFonts w:ascii="Arial" w:hAnsi="Arial" w:cs="Arial"/>
                              <w:color w:val="808080"/>
                              <w:sz w:val="18"/>
                            </w:rPr>
                          </w:pPr>
                          <w:r>
                            <w:rPr>
                              <w:rFonts w:ascii="Arial" w:hAnsi="Arial"/>
                              <w:color w:val="808080"/>
                              <w:sz w:val="18"/>
                            </w:rPr>
                            <w:t xml:space="preserve">Correo: Mittelstraße 50 </w:t>
                          </w:r>
                          <w:r>
                            <w:br/>
                          </w:r>
                          <w:r>
                            <w:rPr>
                              <w:rFonts w:ascii="Arial" w:hAnsi="Arial"/>
                              <w:color w:val="808080"/>
                              <w:sz w:val="18"/>
                            </w:rPr>
                            <w:t>Oficina: Turnerstraße 5-9</w:t>
                          </w:r>
                        </w:p>
                        <w:p w:rsidR="00A60568" w:rsidRDefault="00195671">
                          <w:pPr>
                            <w:rPr>
                              <w:rFonts w:ascii="Arial" w:hAnsi="Arial" w:cs="Arial"/>
                              <w:color w:val="808080"/>
                              <w:sz w:val="18"/>
                            </w:rPr>
                          </w:pPr>
                          <w:r>
                            <w:rPr>
                              <w:rFonts w:ascii="Arial" w:hAnsi="Arial"/>
                              <w:color w:val="808080"/>
                              <w:sz w:val="18"/>
                            </w:rPr>
                            <w:t>33602 Bielefeld</w:t>
                          </w:r>
                        </w:p>
                        <w:p w:rsidR="00A60568" w:rsidRDefault="00195671">
                          <w:pPr>
                            <w:rPr>
                              <w:rFonts w:ascii="Arial" w:hAnsi="Arial" w:cs="Arial"/>
                              <w:color w:val="808080"/>
                              <w:sz w:val="18"/>
                            </w:rPr>
                          </w:pPr>
                          <w:r>
                            <w:rPr>
                              <w:rFonts w:ascii="Arial" w:hAnsi="Arial"/>
                              <w:color w:val="808080"/>
                              <w:sz w:val="18"/>
                            </w:rPr>
                            <w:t>Tel.: +49 521 96533-39</w:t>
                          </w:r>
                        </w:p>
                        <w:p w:rsidR="00A60568" w:rsidRDefault="00195671">
                          <w:pPr>
                            <w:rPr>
                              <w:rFonts w:ascii="Arial" w:hAnsi="Arial" w:cs="Arial"/>
                              <w:color w:val="808080"/>
                              <w:sz w:val="18"/>
                            </w:rPr>
                          </w:pPr>
                          <w:r>
                            <w:rPr>
                              <w:rFonts w:ascii="Arial" w:hAnsi="Arial"/>
                              <w:color w:val="808080"/>
                              <w:sz w:val="18"/>
                            </w:rPr>
                            <w:t>Fax: +49 521 96533-11</w:t>
                          </w:r>
                        </w:p>
                        <w:p w:rsidR="00A60568" w:rsidRDefault="00195671">
                          <w:pPr>
                            <w:rPr>
                              <w:rFonts w:ascii="Arial" w:hAnsi="Arial" w:cs="Arial"/>
                              <w:color w:val="808080"/>
                              <w:sz w:val="18"/>
                            </w:rPr>
                          </w:pPr>
                          <w:r>
                            <w:rPr>
                              <w:rFonts w:ascii="Arial" w:hAnsi="Arial"/>
                              <w:color w:val="808080"/>
                              <w:sz w:val="18"/>
                            </w:rPr>
                            <w:t>E-mail: aw@phmeyer.de</w:t>
                          </w:r>
                        </w:p>
                        <w:p w:rsidR="00A60568" w:rsidRDefault="005B34FB">
                          <w:pPr>
                            <w:rPr>
                              <w:rFonts w:ascii="Arial" w:hAnsi="Arial" w:cs="Arial"/>
                              <w:b/>
                              <w:bCs/>
                              <w:color w:val="808080"/>
                              <w:sz w:val="18"/>
                            </w:rPr>
                          </w:pPr>
                        </w:p>
                        <w:p w:rsidR="00A60568" w:rsidRDefault="00195671">
                          <w:pPr>
                            <w:rPr>
                              <w:rFonts w:ascii="Arial" w:hAnsi="Arial" w:cs="Arial"/>
                              <w:color w:val="808080"/>
                              <w:sz w:val="18"/>
                            </w:rPr>
                          </w:pPr>
                          <w:r>
                            <w:rPr>
                              <w:rFonts w:ascii="Arial" w:hAnsi="Arial"/>
                              <w:b/>
                              <w:color w:val="808080"/>
                              <w:sz w:val="18"/>
                            </w:rPr>
                            <w:t>Descarga:</w:t>
                          </w:r>
                        </w:p>
                        <w:p w:rsidR="00A60568" w:rsidRDefault="00195671">
                          <w:pPr>
                            <w:rPr>
                              <w:rFonts w:ascii="Arial" w:hAnsi="Arial" w:cs="Arial"/>
                              <w:color w:val="808080"/>
                              <w:sz w:val="18"/>
                            </w:rPr>
                          </w:pPr>
                          <w:r>
                            <w:rPr>
                              <w:rFonts w:ascii="Arial" w:hAnsi="Arial"/>
                              <w:color w:val="808080"/>
                              <w:sz w:val="18"/>
                            </w:rPr>
                            <w:t>www.</w:t>
                          </w:r>
                          <w:r w:rsidR="005B34FB">
                            <w:rPr>
                              <w:rFonts w:ascii="Arial" w:hAnsi="Arial"/>
                              <w:color w:val="808080"/>
                              <w:sz w:val="18"/>
                            </w:rPr>
                            <w:t>eplf.com</w:t>
                          </w:r>
                        </w:p>
                        <w:p w:rsidR="00A60568" w:rsidRDefault="005B34FB">
                          <w:pPr>
                            <w:rPr>
                              <w:rFonts w:ascii="Arial" w:hAnsi="Arial" w:cs="Arial"/>
                              <w:color w:val="808080"/>
                              <w:sz w:val="18"/>
                            </w:rPr>
                          </w:pPr>
                          <w:r>
                            <w:rPr>
                              <w:rFonts w:ascii="Arial" w:hAnsi="Arial"/>
                              <w:color w:val="808080"/>
                              <w:sz w:val="18"/>
                            </w:rPr>
                            <w:t>P</w:t>
                          </w:r>
                          <w:r w:rsidR="00195671">
                            <w:rPr>
                              <w:rFonts w:ascii="Arial" w:hAnsi="Arial"/>
                              <w:color w:val="808080"/>
                              <w:sz w:val="18"/>
                            </w:rPr>
                            <w:t>rensa</w:t>
                          </w:r>
                        </w:p>
                        <w:p w:rsidR="00A60568" w:rsidRDefault="00195671">
                          <w:pPr>
                            <w:pStyle w:val="berschrift6"/>
                            <w:spacing w:line="240" w:lineRule="auto"/>
                            <w:ind w:right="-72"/>
                            <w:rPr>
                              <w:color w:val="808080"/>
                              <w:sz w:val="18"/>
                            </w:rPr>
                          </w:pPr>
                          <w:r>
                            <w:rPr>
                              <w:color w:val="808080"/>
                              <w:sz w:val="18"/>
                            </w:rPr>
                            <w:t>Código de texto: eln</w:t>
                          </w:r>
                          <w:r w:rsidR="009B7B91">
                            <w:rPr>
                              <w:color w:val="808080"/>
                              <w:sz w:val="18"/>
                            </w:rPr>
                            <w:t>s</w:t>
                          </w:r>
                          <w:r>
                            <w:rPr>
                              <w:color w:val="808080"/>
                              <w:sz w:val="18"/>
                            </w:rPr>
                            <w:t>1902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8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JV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" filled="f" stroked="f">
              <v:textbox>
                <w:txbxContent>
                  <w:p w:rsidR="00A60568" w:rsidRDefault="00195671">
                    <w:pPr>
                      <w:rPr>
                        <w:rFonts w:ascii="Arial" w:hAnsi="Arial" w:cs="Arial"/>
                        <w:b/>
                        <w:bCs/>
                        <w:color w:val="808080"/>
                        <w:sz w:val="18"/>
                      </w:rPr>
                    </w:pPr>
                    <w:r>
                      <w:rPr>
                        <w:rFonts w:ascii="Arial" w:hAnsi="Arial"/>
                        <w:b/>
                        <w:color w:val="808080"/>
                        <w:sz w:val="18"/>
                      </w:rPr>
                      <w:t>Contacto de prensa:</w:t>
                    </w:r>
                  </w:p>
                  <w:p w:rsidR="00A60568" w:rsidRDefault="005B34FB">
                    <w:pPr>
                      <w:rPr>
                        <w:rFonts w:ascii="Arial" w:hAnsi="Arial" w:cs="Arial"/>
                        <w:b/>
                        <w:bCs/>
                        <w:color w:val="808080"/>
                        <w:sz w:val="18"/>
                      </w:rPr>
                    </w:pPr>
                  </w:p>
                  <w:p w:rsidR="00A60568" w:rsidRDefault="00195671">
                    <w:pPr>
                      <w:rPr>
                        <w:rFonts w:ascii="Arial" w:hAnsi="Arial" w:cs="Arial"/>
                        <w:color w:val="808080"/>
                        <w:sz w:val="18"/>
                      </w:rPr>
                    </w:pPr>
                    <w:r>
                      <w:rPr>
                        <w:rFonts w:ascii="Arial" w:hAnsi="Arial"/>
                        <w:color w:val="808080"/>
                        <w:sz w:val="18"/>
                      </w:rPr>
                      <w:t>Anke Wöhler</w:t>
                    </w:r>
                  </w:p>
                  <w:p w:rsidR="00A60568" w:rsidRDefault="00195671">
                    <w:pPr>
                      <w:rPr>
                        <w:rFonts w:ascii="Arial" w:hAnsi="Arial" w:cs="Arial"/>
                        <w:color w:val="808080"/>
                        <w:sz w:val="18"/>
                      </w:rPr>
                    </w:pPr>
                    <w:r>
                      <w:rPr>
                        <w:rFonts w:ascii="Arial" w:hAnsi="Arial"/>
                        <w:color w:val="808080"/>
                        <w:sz w:val="18"/>
                      </w:rPr>
                      <w:t>PH MEYER</w:t>
                    </w:r>
                  </w:p>
                  <w:p w:rsidR="00A60568" w:rsidRDefault="00195671">
                    <w:pPr>
                      <w:rPr>
                        <w:rFonts w:ascii="Arial" w:hAnsi="Arial" w:cs="Arial"/>
                        <w:color w:val="808080"/>
                        <w:sz w:val="18"/>
                      </w:rPr>
                    </w:pPr>
                    <w:r>
                      <w:rPr>
                        <w:rFonts w:ascii="Arial" w:hAnsi="Arial"/>
                        <w:color w:val="808080"/>
                        <w:sz w:val="18"/>
                      </w:rPr>
                      <w:t>Wirtschaftsberatung</w:t>
                    </w:r>
                  </w:p>
                  <w:p w:rsidR="00A60568" w:rsidRDefault="00195671">
                    <w:pPr>
                      <w:rPr>
                        <w:rFonts w:ascii="Arial" w:hAnsi="Arial" w:cs="Arial"/>
                        <w:color w:val="808080"/>
                        <w:sz w:val="18"/>
                      </w:rPr>
                    </w:pPr>
                    <w:r>
                      <w:rPr>
                        <w:rFonts w:ascii="Arial" w:hAnsi="Arial"/>
                        <w:color w:val="808080"/>
                        <w:sz w:val="18"/>
                      </w:rPr>
                      <w:t>GmbH &amp; Co. KG</w:t>
                    </w:r>
                  </w:p>
                  <w:p w:rsidR="00A60568" w:rsidRDefault="00195671">
                    <w:pPr>
                      <w:rPr>
                        <w:rFonts w:ascii="Arial" w:hAnsi="Arial" w:cs="Arial"/>
                        <w:color w:val="808080"/>
                        <w:sz w:val="18"/>
                      </w:rPr>
                    </w:pPr>
                    <w:r>
                      <w:rPr>
                        <w:rFonts w:ascii="Arial" w:hAnsi="Arial"/>
                        <w:color w:val="808080"/>
                        <w:sz w:val="18"/>
                      </w:rPr>
                      <w:t xml:space="preserve">Correo: Mittelstraße 50 </w:t>
                    </w:r>
                    <w:r>
                      <w:br/>
                    </w:r>
                    <w:r>
                      <w:rPr>
                        <w:rFonts w:ascii="Arial" w:hAnsi="Arial"/>
                        <w:color w:val="808080"/>
                        <w:sz w:val="18"/>
                      </w:rPr>
                      <w:t>Oficina: Turnerstraße 5-9</w:t>
                    </w:r>
                  </w:p>
                  <w:p w:rsidR="00A60568" w:rsidRDefault="00195671">
                    <w:pPr>
                      <w:rPr>
                        <w:rFonts w:ascii="Arial" w:hAnsi="Arial" w:cs="Arial"/>
                        <w:color w:val="808080"/>
                        <w:sz w:val="18"/>
                      </w:rPr>
                    </w:pPr>
                    <w:r>
                      <w:rPr>
                        <w:rFonts w:ascii="Arial" w:hAnsi="Arial"/>
                        <w:color w:val="808080"/>
                        <w:sz w:val="18"/>
                      </w:rPr>
                      <w:t>33602 Bielefeld</w:t>
                    </w:r>
                  </w:p>
                  <w:p w:rsidR="00A60568" w:rsidRDefault="00195671">
                    <w:pPr>
                      <w:rPr>
                        <w:rFonts w:ascii="Arial" w:hAnsi="Arial" w:cs="Arial"/>
                        <w:color w:val="808080"/>
                        <w:sz w:val="18"/>
                      </w:rPr>
                    </w:pPr>
                    <w:r>
                      <w:rPr>
                        <w:rFonts w:ascii="Arial" w:hAnsi="Arial"/>
                        <w:color w:val="808080"/>
                        <w:sz w:val="18"/>
                      </w:rPr>
                      <w:t>Tel.: +49 521 96533-39</w:t>
                    </w:r>
                  </w:p>
                  <w:p w:rsidR="00A60568" w:rsidRDefault="00195671">
                    <w:pPr>
                      <w:rPr>
                        <w:rFonts w:ascii="Arial" w:hAnsi="Arial" w:cs="Arial"/>
                        <w:color w:val="808080"/>
                        <w:sz w:val="18"/>
                      </w:rPr>
                    </w:pPr>
                    <w:r>
                      <w:rPr>
                        <w:rFonts w:ascii="Arial" w:hAnsi="Arial"/>
                        <w:color w:val="808080"/>
                        <w:sz w:val="18"/>
                      </w:rPr>
                      <w:t>Fax: +49 521 96533-11</w:t>
                    </w:r>
                  </w:p>
                  <w:p w:rsidR="00A60568" w:rsidRDefault="00195671">
                    <w:pPr>
                      <w:rPr>
                        <w:rFonts w:ascii="Arial" w:hAnsi="Arial" w:cs="Arial"/>
                        <w:color w:val="808080"/>
                        <w:sz w:val="18"/>
                      </w:rPr>
                    </w:pPr>
                    <w:r>
                      <w:rPr>
                        <w:rFonts w:ascii="Arial" w:hAnsi="Arial"/>
                        <w:color w:val="808080"/>
                        <w:sz w:val="18"/>
                      </w:rPr>
                      <w:t>E-mail: aw@phmeyer.de</w:t>
                    </w:r>
                  </w:p>
                  <w:p w:rsidR="00A60568" w:rsidRDefault="005B34FB">
                    <w:pPr>
                      <w:rPr>
                        <w:rFonts w:ascii="Arial" w:hAnsi="Arial" w:cs="Arial"/>
                        <w:b/>
                        <w:bCs/>
                        <w:color w:val="808080"/>
                        <w:sz w:val="18"/>
                      </w:rPr>
                    </w:pPr>
                  </w:p>
                  <w:p w:rsidR="00A60568" w:rsidRDefault="00195671">
                    <w:pPr>
                      <w:rPr>
                        <w:rFonts w:ascii="Arial" w:hAnsi="Arial" w:cs="Arial"/>
                        <w:color w:val="808080"/>
                        <w:sz w:val="18"/>
                      </w:rPr>
                    </w:pPr>
                    <w:r>
                      <w:rPr>
                        <w:rFonts w:ascii="Arial" w:hAnsi="Arial"/>
                        <w:b/>
                        <w:color w:val="808080"/>
                        <w:sz w:val="18"/>
                      </w:rPr>
                      <w:t>Descarga:</w:t>
                    </w:r>
                  </w:p>
                  <w:p w:rsidR="00A60568" w:rsidRDefault="00195671">
                    <w:pPr>
                      <w:rPr>
                        <w:rFonts w:ascii="Arial" w:hAnsi="Arial" w:cs="Arial"/>
                        <w:color w:val="808080"/>
                        <w:sz w:val="18"/>
                      </w:rPr>
                    </w:pPr>
                    <w:r>
                      <w:rPr>
                        <w:rFonts w:ascii="Arial" w:hAnsi="Arial"/>
                        <w:color w:val="808080"/>
                        <w:sz w:val="18"/>
                      </w:rPr>
                      <w:t>www.</w:t>
                    </w:r>
                    <w:r w:rsidR="005B34FB">
                      <w:rPr>
                        <w:rFonts w:ascii="Arial" w:hAnsi="Arial"/>
                        <w:color w:val="808080"/>
                        <w:sz w:val="18"/>
                      </w:rPr>
                      <w:t>eplf.com</w:t>
                    </w:r>
                  </w:p>
                  <w:p w:rsidR="00A60568" w:rsidRDefault="005B34FB">
                    <w:pPr>
                      <w:rPr>
                        <w:rFonts w:ascii="Arial" w:hAnsi="Arial" w:cs="Arial"/>
                        <w:color w:val="808080"/>
                        <w:sz w:val="18"/>
                      </w:rPr>
                    </w:pPr>
                    <w:r>
                      <w:rPr>
                        <w:rFonts w:ascii="Arial" w:hAnsi="Arial"/>
                        <w:color w:val="808080"/>
                        <w:sz w:val="18"/>
                      </w:rPr>
                      <w:t>P</w:t>
                    </w:r>
                    <w:r w:rsidR="00195671">
                      <w:rPr>
                        <w:rFonts w:ascii="Arial" w:hAnsi="Arial"/>
                        <w:color w:val="808080"/>
                        <w:sz w:val="18"/>
                      </w:rPr>
                      <w:t>rensa</w:t>
                    </w:r>
                  </w:p>
                  <w:p w:rsidR="00A60568" w:rsidRDefault="00195671">
                    <w:pPr>
                      <w:pStyle w:val="berschrift6"/>
                      <w:spacing w:line="240" w:lineRule="auto"/>
                      <w:ind w:right="-72"/>
                      <w:rPr>
                        <w:color w:val="808080"/>
                        <w:sz w:val="18"/>
                      </w:rPr>
                    </w:pPr>
                    <w:r>
                      <w:rPr>
                        <w:color w:val="808080"/>
                        <w:sz w:val="18"/>
                      </w:rPr>
                      <w:t>Código de texto: eln</w:t>
                    </w:r>
                    <w:r w:rsidR="009B7B91">
                      <w:rPr>
                        <w:color w:val="808080"/>
                        <w:sz w:val="18"/>
                      </w:rPr>
                      <w:t>s</w:t>
                    </w:r>
                    <w:r>
                      <w:rPr>
                        <w:color w:val="808080"/>
                        <w:sz w:val="18"/>
                      </w:rPr>
                      <w:t>1902</w:t>
                    </w:r>
                  </w:p>
                </w:txbxContent>
              </v:textbox>
            </v:shape>
          </w:pict>
        </mc:Fallback>
      </mc:AlternateContent>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VEg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156F6AE">
      <w:numFmt w:val="bullet"/>
      <w:lvlText w:val=""/>
      <w:lvlJc w:val="left"/>
      <w:pPr>
        <w:ind w:left="720" w:hanging="360"/>
      </w:pPr>
      <w:rPr>
        <w:rFonts w:ascii="Symbol" w:eastAsia="Times New Roman" w:hAnsi="Symbol" w:cs="Arial" w:hint="default"/>
      </w:rPr>
    </w:lvl>
    <w:lvl w:ilvl="1" w:tplc="0DEC7310" w:tentative="1">
      <w:start w:val="1"/>
      <w:numFmt w:val="bullet"/>
      <w:lvlText w:val="o"/>
      <w:lvlJc w:val="left"/>
      <w:pPr>
        <w:ind w:left="1440" w:hanging="360"/>
      </w:pPr>
      <w:rPr>
        <w:rFonts w:ascii="Courier New" w:hAnsi="Courier New" w:cs="Courier New" w:hint="default"/>
      </w:rPr>
    </w:lvl>
    <w:lvl w:ilvl="2" w:tplc="CEBA3022" w:tentative="1">
      <w:start w:val="1"/>
      <w:numFmt w:val="bullet"/>
      <w:lvlText w:val=""/>
      <w:lvlJc w:val="left"/>
      <w:pPr>
        <w:ind w:left="2160" w:hanging="360"/>
      </w:pPr>
      <w:rPr>
        <w:rFonts w:ascii="Wingdings" w:hAnsi="Wingdings" w:hint="default"/>
      </w:rPr>
    </w:lvl>
    <w:lvl w:ilvl="3" w:tplc="08482604" w:tentative="1">
      <w:start w:val="1"/>
      <w:numFmt w:val="bullet"/>
      <w:lvlText w:val=""/>
      <w:lvlJc w:val="left"/>
      <w:pPr>
        <w:ind w:left="2880" w:hanging="360"/>
      </w:pPr>
      <w:rPr>
        <w:rFonts w:ascii="Symbol" w:hAnsi="Symbol" w:hint="default"/>
      </w:rPr>
    </w:lvl>
    <w:lvl w:ilvl="4" w:tplc="E5E06B02" w:tentative="1">
      <w:start w:val="1"/>
      <w:numFmt w:val="bullet"/>
      <w:lvlText w:val="o"/>
      <w:lvlJc w:val="left"/>
      <w:pPr>
        <w:ind w:left="3600" w:hanging="360"/>
      </w:pPr>
      <w:rPr>
        <w:rFonts w:ascii="Courier New" w:hAnsi="Courier New" w:cs="Courier New" w:hint="default"/>
      </w:rPr>
    </w:lvl>
    <w:lvl w:ilvl="5" w:tplc="919A2C86" w:tentative="1">
      <w:start w:val="1"/>
      <w:numFmt w:val="bullet"/>
      <w:lvlText w:val=""/>
      <w:lvlJc w:val="left"/>
      <w:pPr>
        <w:ind w:left="4320" w:hanging="360"/>
      </w:pPr>
      <w:rPr>
        <w:rFonts w:ascii="Wingdings" w:hAnsi="Wingdings" w:hint="default"/>
      </w:rPr>
    </w:lvl>
    <w:lvl w:ilvl="6" w:tplc="7C5C72AC" w:tentative="1">
      <w:start w:val="1"/>
      <w:numFmt w:val="bullet"/>
      <w:lvlText w:val=""/>
      <w:lvlJc w:val="left"/>
      <w:pPr>
        <w:ind w:left="5040" w:hanging="360"/>
      </w:pPr>
      <w:rPr>
        <w:rFonts w:ascii="Symbol" w:hAnsi="Symbol" w:hint="default"/>
      </w:rPr>
    </w:lvl>
    <w:lvl w:ilvl="7" w:tplc="ACE66A18" w:tentative="1">
      <w:start w:val="1"/>
      <w:numFmt w:val="bullet"/>
      <w:lvlText w:val="o"/>
      <w:lvlJc w:val="left"/>
      <w:pPr>
        <w:ind w:left="5760" w:hanging="360"/>
      </w:pPr>
      <w:rPr>
        <w:rFonts w:ascii="Courier New" w:hAnsi="Courier New" w:cs="Courier New" w:hint="default"/>
      </w:rPr>
    </w:lvl>
    <w:lvl w:ilvl="8" w:tplc="73C244B4"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E6E0ABA4">
      <w:start w:val="1"/>
      <w:numFmt w:val="decimal"/>
      <w:lvlText w:val="%1."/>
      <w:lvlJc w:val="left"/>
      <w:pPr>
        <w:tabs>
          <w:tab w:val="num" w:pos="720"/>
        </w:tabs>
        <w:ind w:left="720" w:hanging="360"/>
      </w:pPr>
    </w:lvl>
    <w:lvl w:ilvl="1" w:tplc="54BE973E" w:tentative="1">
      <w:start w:val="1"/>
      <w:numFmt w:val="lowerLetter"/>
      <w:lvlText w:val="%2."/>
      <w:lvlJc w:val="left"/>
      <w:pPr>
        <w:tabs>
          <w:tab w:val="num" w:pos="1440"/>
        </w:tabs>
        <w:ind w:left="1440" w:hanging="360"/>
      </w:pPr>
    </w:lvl>
    <w:lvl w:ilvl="2" w:tplc="C684485C" w:tentative="1">
      <w:start w:val="1"/>
      <w:numFmt w:val="lowerRoman"/>
      <w:lvlText w:val="%3."/>
      <w:lvlJc w:val="right"/>
      <w:pPr>
        <w:tabs>
          <w:tab w:val="num" w:pos="2160"/>
        </w:tabs>
        <w:ind w:left="2160" w:hanging="180"/>
      </w:pPr>
    </w:lvl>
    <w:lvl w:ilvl="3" w:tplc="84FE9A4E" w:tentative="1">
      <w:start w:val="1"/>
      <w:numFmt w:val="decimal"/>
      <w:lvlText w:val="%4."/>
      <w:lvlJc w:val="left"/>
      <w:pPr>
        <w:tabs>
          <w:tab w:val="num" w:pos="2880"/>
        </w:tabs>
        <w:ind w:left="2880" w:hanging="360"/>
      </w:pPr>
    </w:lvl>
    <w:lvl w:ilvl="4" w:tplc="306CE970" w:tentative="1">
      <w:start w:val="1"/>
      <w:numFmt w:val="lowerLetter"/>
      <w:lvlText w:val="%5."/>
      <w:lvlJc w:val="left"/>
      <w:pPr>
        <w:tabs>
          <w:tab w:val="num" w:pos="3600"/>
        </w:tabs>
        <w:ind w:left="3600" w:hanging="360"/>
      </w:pPr>
    </w:lvl>
    <w:lvl w:ilvl="5" w:tplc="03CAACBE" w:tentative="1">
      <w:start w:val="1"/>
      <w:numFmt w:val="lowerRoman"/>
      <w:lvlText w:val="%6."/>
      <w:lvlJc w:val="right"/>
      <w:pPr>
        <w:tabs>
          <w:tab w:val="num" w:pos="4320"/>
        </w:tabs>
        <w:ind w:left="4320" w:hanging="180"/>
      </w:pPr>
    </w:lvl>
    <w:lvl w:ilvl="6" w:tplc="77383B8A" w:tentative="1">
      <w:start w:val="1"/>
      <w:numFmt w:val="decimal"/>
      <w:lvlText w:val="%7."/>
      <w:lvlJc w:val="left"/>
      <w:pPr>
        <w:tabs>
          <w:tab w:val="num" w:pos="5040"/>
        </w:tabs>
        <w:ind w:left="5040" w:hanging="360"/>
      </w:pPr>
    </w:lvl>
    <w:lvl w:ilvl="7" w:tplc="6D1062F2" w:tentative="1">
      <w:start w:val="1"/>
      <w:numFmt w:val="lowerLetter"/>
      <w:lvlText w:val="%8."/>
      <w:lvlJc w:val="left"/>
      <w:pPr>
        <w:tabs>
          <w:tab w:val="num" w:pos="5760"/>
        </w:tabs>
        <w:ind w:left="5760" w:hanging="360"/>
      </w:pPr>
    </w:lvl>
    <w:lvl w:ilvl="8" w:tplc="3586D254"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8EE46BBC">
      <w:numFmt w:val="bullet"/>
      <w:lvlText w:val=""/>
      <w:lvlJc w:val="left"/>
      <w:pPr>
        <w:ind w:left="720" w:hanging="360"/>
      </w:pPr>
      <w:rPr>
        <w:rFonts w:ascii="Symbol" w:eastAsia="Times New Roman" w:hAnsi="Symbol" w:cs="Arial" w:hint="default"/>
      </w:rPr>
    </w:lvl>
    <w:lvl w:ilvl="1" w:tplc="9E90764E" w:tentative="1">
      <w:start w:val="1"/>
      <w:numFmt w:val="bullet"/>
      <w:lvlText w:val="o"/>
      <w:lvlJc w:val="left"/>
      <w:pPr>
        <w:ind w:left="1440" w:hanging="360"/>
      </w:pPr>
      <w:rPr>
        <w:rFonts w:ascii="Courier New" w:hAnsi="Courier New" w:cs="Courier New" w:hint="default"/>
      </w:rPr>
    </w:lvl>
    <w:lvl w:ilvl="2" w:tplc="0B203BB0" w:tentative="1">
      <w:start w:val="1"/>
      <w:numFmt w:val="bullet"/>
      <w:lvlText w:val=""/>
      <w:lvlJc w:val="left"/>
      <w:pPr>
        <w:ind w:left="2160" w:hanging="360"/>
      </w:pPr>
      <w:rPr>
        <w:rFonts w:ascii="Wingdings" w:hAnsi="Wingdings" w:hint="default"/>
      </w:rPr>
    </w:lvl>
    <w:lvl w:ilvl="3" w:tplc="3384BD1A" w:tentative="1">
      <w:start w:val="1"/>
      <w:numFmt w:val="bullet"/>
      <w:lvlText w:val=""/>
      <w:lvlJc w:val="left"/>
      <w:pPr>
        <w:ind w:left="2880" w:hanging="360"/>
      </w:pPr>
      <w:rPr>
        <w:rFonts w:ascii="Symbol" w:hAnsi="Symbol" w:hint="default"/>
      </w:rPr>
    </w:lvl>
    <w:lvl w:ilvl="4" w:tplc="26CE3840" w:tentative="1">
      <w:start w:val="1"/>
      <w:numFmt w:val="bullet"/>
      <w:lvlText w:val="o"/>
      <w:lvlJc w:val="left"/>
      <w:pPr>
        <w:ind w:left="3600" w:hanging="360"/>
      </w:pPr>
      <w:rPr>
        <w:rFonts w:ascii="Courier New" w:hAnsi="Courier New" w:cs="Courier New" w:hint="default"/>
      </w:rPr>
    </w:lvl>
    <w:lvl w:ilvl="5" w:tplc="49D6007E" w:tentative="1">
      <w:start w:val="1"/>
      <w:numFmt w:val="bullet"/>
      <w:lvlText w:val=""/>
      <w:lvlJc w:val="left"/>
      <w:pPr>
        <w:ind w:left="4320" w:hanging="360"/>
      </w:pPr>
      <w:rPr>
        <w:rFonts w:ascii="Wingdings" w:hAnsi="Wingdings" w:hint="default"/>
      </w:rPr>
    </w:lvl>
    <w:lvl w:ilvl="6" w:tplc="38B279A0" w:tentative="1">
      <w:start w:val="1"/>
      <w:numFmt w:val="bullet"/>
      <w:lvlText w:val=""/>
      <w:lvlJc w:val="left"/>
      <w:pPr>
        <w:ind w:left="5040" w:hanging="360"/>
      </w:pPr>
      <w:rPr>
        <w:rFonts w:ascii="Symbol" w:hAnsi="Symbol" w:hint="default"/>
      </w:rPr>
    </w:lvl>
    <w:lvl w:ilvl="7" w:tplc="91F615FC" w:tentative="1">
      <w:start w:val="1"/>
      <w:numFmt w:val="bullet"/>
      <w:lvlText w:val="o"/>
      <w:lvlJc w:val="left"/>
      <w:pPr>
        <w:ind w:left="5760" w:hanging="360"/>
      </w:pPr>
      <w:rPr>
        <w:rFonts w:ascii="Courier New" w:hAnsi="Courier New" w:cs="Courier New" w:hint="default"/>
      </w:rPr>
    </w:lvl>
    <w:lvl w:ilvl="8" w:tplc="A704F484"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4836BAC2">
      <w:start w:val="1"/>
      <w:numFmt w:val="decimal"/>
      <w:lvlText w:val="%1."/>
      <w:lvlJc w:val="left"/>
      <w:pPr>
        <w:tabs>
          <w:tab w:val="num" w:pos="720"/>
        </w:tabs>
        <w:ind w:left="720" w:hanging="360"/>
      </w:pPr>
      <w:rPr>
        <w:rFonts w:hint="default"/>
      </w:rPr>
    </w:lvl>
    <w:lvl w:ilvl="1" w:tplc="1440503E" w:tentative="1">
      <w:start w:val="1"/>
      <w:numFmt w:val="lowerLetter"/>
      <w:lvlText w:val="%2."/>
      <w:lvlJc w:val="left"/>
      <w:pPr>
        <w:tabs>
          <w:tab w:val="num" w:pos="1440"/>
        </w:tabs>
        <w:ind w:left="1440" w:hanging="360"/>
      </w:pPr>
    </w:lvl>
    <w:lvl w:ilvl="2" w:tplc="E8E4080E" w:tentative="1">
      <w:start w:val="1"/>
      <w:numFmt w:val="lowerRoman"/>
      <w:lvlText w:val="%3."/>
      <w:lvlJc w:val="right"/>
      <w:pPr>
        <w:tabs>
          <w:tab w:val="num" w:pos="2160"/>
        </w:tabs>
        <w:ind w:left="2160" w:hanging="180"/>
      </w:pPr>
    </w:lvl>
    <w:lvl w:ilvl="3" w:tplc="44D40C24" w:tentative="1">
      <w:start w:val="1"/>
      <w:numFmt w:val="decimal"/>
      <w:lvlText w:val="%4."/>
      <w:lvlJc w:val="left"/>
      <w:pPr>
        <w:tabs>
          <w:tab w:val="num" w:pos="2880"/>
        </w:tabs>
        <w:ind w:left="2880" w:hanging="360"/>
      </w:pPr>
    </w:lvl>
    <w:lvl w:ilvl="4" w:tplc="185A962A" w:tentative="1">
      <w:start w:val="1"/>
      <w:numFmt w:val="lowerLetter"/>
      <w:lvlText w:val="%5."/>
      <w:lvlJc w:val="left"/>
      <w:pPr>
        <w:tabs>
          <w:tab w:val="num" w:pos="3600"/>
        </w:tabs>
        <w:ind w:left="3600" w:hanging="360"/>
      </w:pPr>
    </w:lvl>
    <w:lvl w:ilvl="5" w:tplc="63F08248" w:tentative="1">
      <w:start w:val="1"/>
      <w:numFmt w:val="lowerRoman"/>
      <w:lvlText w:val="%6."/>
      <w:lvlJc w:val="right"/>
      <w:pPr>
        <w:tabs>
          <w:tab w:val="num" w:pos="4320"/>
        </w:tabs>
        <w:ind w:left="4320" w:hanging="180"/>
      </w:pPr>
    </w:lvl>
    <w:lvl w:ilvl="6" w:tplc="89A28EDC" w:tentative="1">
      <w:start w:val="1"/>
      <w:numFmt w:val="decimal"/>
      <w:lvlText w:val="%7."/>
      <w:lvlJc w:val="left"/>
      <w:pPr>
        <w:tabs>
          <w:tab w:val="num" w:pos="5040"/>
        </w:tabs>
        <w:ind w:left="5040" w:hanging="360"/>
      </w:pPr>
    </w:lvl>
    <w:lvl w:ilvl="7" w:tplc="38A8EE3C" w:tentative="1">
      <w:start w:val="1"/>
      <w:numFmt w:val="lowerLetter"/>
      <w:lvlText w:val="%8."/>
      <w:lvlJc w:val="left"/>
      <w:pPr>
        <w:tabs>
          <w:tab w:val="num" w:pos="5760"/>
        </w:tabs>
        <w:ind w:left="5760" w:hanging="360"/>
      </w:pPr>
    </w:lvl>
    <w:lvl w:ilvl="8" w:tplc="230CCEB8"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CE18209A">
      <w:start w:val="1"/>
      <w:numFmt w:val="bullet"/>
      <w:lvlText w:val=""/>
      <w:lvlJc w:val="left"/>
      <w:pPr>
        <w:tabs>
          <w:tab w:val="num" w:pos="1080"/>
        </w:tabs>
        <w:ind w:left="1080" w:hanging="360"/>
      </w:pPr>
      <w:rPr>
        <w:rFonts w:ascii="Wingdings" w:hAnsi="Wingdings" w:hint="default"/>
      </w:rPr>
    </w:lvl>
    <w:lvl w:ilvl="1" w:tplc="FDD0D0C8" w:tentative="1">
      <w:start w:val="1"/>
      <w:numFmt w:val="bullet"/>
      <w:lvlText w:val="o"/>
      <w:lvlJc w:val="left"/>
      <w:pPr>
        <w:tabs>
          <w:tab w:val="num" w:pos="1800"/>
        </w:tabs>
        <w:ind w:left="1800" w:hanging="360"/>
      </w:pPr>
      <w:rPr>
        <w:rFonts w:ascii="Courier New" w:hAnsi="Courier New" w:hint="default"/>
      </w:rPr>
    </w:lvl>
    <w:lvl w:ilvl="2" w:tplc="41605D58" w:tentative="1">
      <w:start w:val="1"/>
      <w:numFmt w:val="bullet"/>
      <w:lvlText w:val=""/>
      <w:lvlJc w:val="left"/>
      <w:pPr>
        <w:tabs>
          <w:tab w:val="num" w:pos="2520"/>
        </w:tabs>
        <w:ind w:left="2520" w:hanging="360"/>
      </w:pPr>
      <w:rPr>
        <w:rFonts w:ascii="Wingdings" w:hAnsi="Wingdings" w:hint="default"/>
      </w:rPr>
    </w:lvl>
    <w:lvl w:ilvl="3" w:tplc="93AE0B28" w:tentative="1">
      <w:start w:val="1"/>
      <w:numFmt w:val="bullet"/>
      <w:lvlText w:val=""/>
      <w:lvlJc w:val="left"/>
      <w:pPr>
        <w:tabs>
          <w:tab w:val="num" w:pos="3240"/>
        </w:tabs>
        <w:ind w:left="3240" w:hanging="360"/>
      </w:pPr>
      <w:rPr>
        <w:rFonts w:ascii="Symbol" w:hAnsi="Symbol" w:hint="default"/>
      </w:rPr>
    </w:lvl>
    <w:lvl w:ilvl="4" w:tplc="56463196" w:tentative="1">
      <w:start w:val="1"/>
      <w:numFmt w:val="bullet"/>
      <w:lvlText w:val="o"/>
      <w:lvlJc w:val="left"/>
      <w:pPr>
        <w:tabs>
          <w:tab w:val="num" w:pos="3960"/>
        </w:tabs>
        <w:ind w:left="3960" w:hanging="360"/>
      </w:pPr>
      <w:rPr>
        <w:rFonts w:ascii="Courier New" w:hAnsi="Courier New" w:hint="default"/>
      </w:rPr>
    </w:lvl>
    <w:lvl w:ilvl="5" w:tplc="D2A457E2" w:tentative="1">
      <w:start w:val="1"/>
      <w:numFmt w:val="bullet"/>
      <w:lvlText w:val=""/>
      <w:lvlJc w:val="left"/>
      <w:pPr>
        <w:tabs>
          <w:tab w:val="num" w:pos="4680"/>
        </w:tabs>
        <w:ind w:left="4680" w:hanging="360"/>
      </w:pPr>
      <w:rPr>
        <w:rFonts w:ascii="Wingdings" w:hAnsi="Wingdings" w:hint="default"/>
      </w:rPr>
    </w:lvl>
    <w:lvl w:ilvl="6" w:tplc="E092BF1C" w:tentative="1">
      <w:start w:val="1"/>
      <w:numFmt w:val="bullet"/>
      <w:lvlText w:val=""/>
      <w:lvlJc w:val="left"/>
      <w:pPr>
        <w:tabs>
          <w:tab w:val="num" w:pos="5400"/>
        </w:tabs>
        <w:ind w:left="5400" w:hanging="360"/>
      </w:pPr>
      <w:rPr>
        <w:rFonts w:ascii="Symbol" w:hAnsi="Symbol" w:hint="default"/>
      </w:rPr>
    </w:lvl>
    <w:lvl w:ilvl="7" w:tplc="1294023C" w:tentative="1">
      <w:start w:val="1"/>
      <w:numFmt w:val="bullet"/>
      <w:lvlText w:val="o"/>
      <w:lvlJc w:val="left"/>
      <w:pPr>
        <w:tabs>
          <w:tab w:val="num" w:pos="6120"/>
        </w:tabs>
        <w:ind w:left="6120" w:hanging="360"/>
      </w:pPr>
      <w:rPr>
        <w:rFonts w:ascii="Courier New" w:hAnsi="Courier New" w:hint="default"/>
      </w:rPr>
    </w:lvl>
    <w:lvl w:ilvl="8" w:tplc="3A426D4E"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195671"/>
    <w:rsid w:val="004F7F46"/>
    <w:rsid w:val="005B34FB"/>
    <w:rsid w:val="009B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s-ES" w:eastAsia="es-ES"/>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link w:val="berschrift3Zchn"/>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lang w:val="es-ES" w:eastAsia="es-ES"/>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lang w:val="es-ES" w:eastAsia="es-ES"/>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lang w:val="es-ES" w:eastAsia="es-ES"/>
    </w:rPr>
  </w:style>
  <w:style w:type="character" w:customStyle="1" w:styleId="st">
    <w:name w:val="st"/>
    <w:rsid w:val="00103DE6"/>
  </w:style>
  <w:style w:type="character" w:customStyle="1" w:styleId="ft">
    <w:name w:val="ft"/>
    <w:rsid w:val="00AA006E"/>
  </w:style>
  <w:style w:type="character" w:customStyle="1" w:styleId="berschrift3Zchn">
    <w:name w:val="Überschrift 3 Zchn"/>
    <w:link w:val="berschrift3"/>
    <w:rsid w:val="00707CDF"/>
    <w:rPr>
      <w:rFonts w:ascii="Arial" w:hAnsi="Arial"/>
      <w:b/>
      <w:sz w:val="24"/>
      <w:lang w:val="es-ES" w:eastAsia="es-ES"/>
    </w:rPr>
  </w:style>
  <w:style w:type="character" w:customStyle="1" w:styleId="apple-converted-space">
    <w:name w:val="apple-converted-space"/>
    <w:rsid w:val="00CC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s-ES" w:eastAsia="es-ES"/>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link w:val="berschrift3Zchn"/>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lang w:val="es-ES" w:eastAsia="es-ES"/>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lang w:val="es-ES" w:eastAsia="es-ES"/>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lang w:val="es-ES" w:eastAsia="es-ES"/>
    </w:rPr>
  </w:style>
  <w:style w:type="character" w:customStyle="1" w:styleId="st">
    <w:name w:val="st"/>
    <w:rsid w:val="00103DE6"/>
  </w:style>
  <w:style w:type="character" w:customStyle="1" w:styleId="ft">
    <w:name w:val="ft"/>
    <w:rsid w:val="00AA006E"/>
  </w:style>
  <w:style w:type="character" w:customStyle="1" w:styleId="berschrift3Zchn">
    <w:name w:val="Überschrift 3 Zchn"/>
    <w:link w:val="berschrift3"/>
    <w:rsid w:val="00707CDF"/>
    <w:rPr>
      <w:rFonts w:ascii="Arial" w:hAnsi="Arial"/>
      <w:b/>
      <w:sz w:val="24"/>
      <w:lang w:val="es-ES" w:eastAsia="es-ES"/>
    </w:rPr>
  </w:style>
  <w:style w:type="character" w:customStyle="1" w:styleId="apple-converted-space">
    <w:name w:val="apple-converted-space"/>
    <w:rsid w:val="00CC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1EA0-0BA9-4AC7-88C0-F65C04A9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Las cifras de EPLF</vt:lpstr>
    </vt:vector>
  </TitlesOfParts>
  <Company>EPLF</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cifras de EPLF</dc:title>
  <dc:creator>Anke W�hler</dc:creator>
  <cp:lastModifiedBy>AW</cp:lastModifiedBy>
  <cp:revision>3</cp:revision>
  <cp:lastPrinted>2019-01-11T09:46:00Z</cp:lastPrinted>
  <dcterms:created xsi:type="dcterms:W3CDTF">2019-01-15T14:15:00Z</dcterms:created>
  <dcterms:modified xsi:type="dcterms:W3CDTF">2019-01-16T09:30:00Z</dcterms:modified>
</cp:coreProperties>
</file>